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drawing>
          <wp:inline>
            <wp:extent cx="6576060" cy="915924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576060" cy="915924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муниципальное бюджетное общеобразовательное учреждение ``Большебитаманская основная общеобразовательная школа Высокогорского муниципального района Республики Татарстан``</w:t>
      </w:r>
    </w:p>
    <w:p w14:paraId="03000000">
      <w:pPr>
        <w:ind/>
        <w:jc w:val="center"/>
        <w:rPr>
          <w:rFonts w:ascii="Times New Roman" w:hAnsi="Times New Roman"/>
          <w:sz w:val="28"/>
        </w:rPr>
      </w:pPr>
    </w:p>
    <w:p w14:paraId="04000000">
      <w:pPr>
        <w:ind/>
        <w:jc w:val="center"/>
        <w:rPr>
          <w:rFonts w:ascii="Times New Roman" w:hAnsi="Times New Roman"/>
          <w:sz w:val="28"/>
        </w:rPr>
      </w:pPr>
    </w:p>
    <w:p w14:paraId="05000000">
      <w:pPr>
        <w:ind/>
        <w:jc w:val="center"/>
        <w:rPr>
          <w:rFonts w:ascii="Times New Roman" w:hAnsi="Times New Roman"/>
          <w:sz w:val="28"/>
        </w:rPr>
      </w:pPr>
    </w:p>
    <w:tbl>
      <w:tblPr>
        <w:tblStyle w:val="Style_1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3273"/>
        <w:gridCol w:w="3284"/>
        <w:gridCol w:w="3365"/>
      </w:tblGrid>
      <w:tr>
        <w:tc>
          <w:tcPr>
            <w:tcW w:type="dxa" w:w="327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6000000">
            <w:pPr>
              <w:rPr>
                <w:rFonts w:ascii="Times New Roman" w:hAnsi="Times New Roman"/>
                <w:sz w:val="24"/>
              </w:rPr>
            </w:pPr>
          </w:p>
          <w:p w14:paraId="0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РАССМОТРЕНО</w:t>
            </w:r>
          </w:p>
          <w:p w14:paraId="0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заседании педагогического совета</w:t>
            </w:r>
          </w:p>
          <w:p w14:paraId="0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14:paraId="0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Мухарлямов Ф.Г.</w:t>
            </w:r>
          </w:p>
          <w:p w14:paraId="0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</w:t>
            </w:r>
            <w:r>
              <w:rPr>
                <w:rFonts w:ascii="Times New Roman" w:hAnsi="Times New Roman"/>
                <w:sz w:val="24"/>
              </w:rPr>
              <w:t xml:space="preserve"> № 1</w:t>
            </w:r>
          </w:p>
          <w:p w14:paraId="0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z w:val="24"/>
              </w:rPr>
              <w:t xml:space="preserve"> “16.08.2025”</w:t>
            </w:r>
          </w:p>
          <w:p w14:paraId="0D000000">
            <w:pPr>
              <w:rPr>
                <w:rFonts w:ascii="Times New Roman" w:hAnsi="Times New Roman"/>
                <w:sz w:val="24"/>
              </w:rPr>
            </w:pPr>
          </w:p>
          <w:p w14:paraId="0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8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F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6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0000000">
            <w:pPr>
              <w:rPr>
                <w:rFonts w:ascii="Times New Roman" w:hAnsi="Times New Roman"/>
                <w:sz w:val="24"/>
              </w:rPr>
            </w:pPr>
          </w:p>
          <w:p w14:paraId="1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УТВЕРЖДЕНО</w:t>
            </w:r>
          </w:p>
          <w:p w14:paraId="1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  <w:p w14:paraId="1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Мухарлямов Ф.Г.</w:t>
            </w:r>
          </w:p>
          <w:p w14:paraId="1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33</w:t>
            </w:r>
          </w:p>
          <w:p w14:paraId="1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z w:val="24"/>
              </w:rPr>
              <w:t xml:space="preserve"> “16.08.2025”</w:t>
            </w:r>
          </w:p>
          <w:p w14:paraId="1600000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17000000">
      <w:pPr>
        <w:ind/>
        <w:jc w:val="center"/>
        <w:rPr>
          <w:rFonts w:ascii="Times New Roman" w:hAnsi="Times New Roman"/>
        </w:rPr>
      </w:pPr>
    </w:p>
    <w:p w14:paraId="18000000">
      <w:pPr>
        <w:ind/>
        <w:jc w:val="center"/>
        <w:rPr>
          <w:rFonts w:ascii="Times New Roman" w:hAnsi="Times New Roman"/>
          <w:sz w:val="28"/>
        </w:rPr>
      </w:pPr>
    </w:p>
    <w:p w14:paraId="19000000">
      <w:pPr>
        <w:ind/>
        <w:jc w:val="center"/>
        <w:rPr>
          <w:rFonts w:ascii="Times New Roman" w:hAnsi="Times New Roman"/>
          <w:sz w:val="28"/>
        </w:rPr>
      </w:pPr>
    </w:p>
    <w:p w14:paraId="1A000000">
      <w:pPr>
        <w:ind/>
        <w:jc w:val="center"/>
        <w:rPr>
          <w:rFonts w:ascii="Times New Roman" w:hAnsi="Times New Roman"/>
          <w:sz w:val="28"/>
        </w:rPr>
      </w:pPr>
    </w:p>
    <w:p w14:paraId="1B000000">
      <w:pPr>
        <w:ind/>
        <w:jc w:val="center"/>
        <w:rPr>
          <w:rFonts w:ascii="Times New Roman" w:hAnsi="Times New Roman"/>
          <w:sz w:val="28"/>
        </w:rPr>
      </w:pPr>
    </w:p>
    <w:p w14:paraId="1C000000">
      <w:pPr>
        <w:ind/>
        <w:jc w:val="center"/>
        <w:rPr>
          <w:rFonts w:ascii="Times New Roman" w:hAnsi="Times New Roman"/>
          <w:sz w:val="28"/>
        </w:rPr>
      </w:pPr>
    </w:p>
    <w:p w14:paraId="1D000000">
      <w:pPr>
        <w:ind/>
        <w:jc w:val="center"/>
        <w:rPr>
          <w:rFonts w:ascii="Times New Roman" w:hAnsi="Times New Roman"/>
          <w:sz w:val="28"/>
        </w:rPr>
      </w:pPr>
    </w:p>
    <w:p w14:paraId="1E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УЧЕБНЫЙ ПЛАН</w:t>
      </w:r>
    </w:p>
    <w:p w14:paraId="1F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начального общего образования</w:t>
      </w:r>
    </w:p>
    <w:p w14:paraId="20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 xml:space="preserve">2025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2026</w:t>
      </w:r>
      <w:r>
        <w:rPr>
          <w:rFonts w:ascii="Times New Roman" w:hAnsi="Times New Roman"/>
          <w:sz w:val="28"/>
        </w:rPr>
        <w:t xml:space="preserve"> учебный год</w:t>
      </w:r>
    </w:p>
    <w:p w14:paraId="21000000">
      <w:pPr>
        <w:ind/>
        <w:jc w:val="center"/>
        <w:rPr>
          <w:rFonts w:ascii="Times New Roman" w:hAnsi="Times New Roman"/>
          <w:sz w:val="28"/>
        </w:rPr>
      </w:pPr>
    </w:p>
    <w:p w14:paraId="22000000">
      <w:pPr>
        <w:ind/>
        <w:jc w:val="center"/>
        <w:rPr>
          <w:rFonts w:ascii="Times New Roman" w:hAnsi="Times New Roman"/>
          <w:sz w:val="28"/>
        </w:rPr>
      </w:pPr>
    </w:p>
    <w:p w14:paraId="23000000">
      <w:pPr>
        <w:ind/>
        <w:jc w:val="center"/>
        <w:rPr>
          <w:rFonts w:ascii="Times New Roman" w:hAnsi="Times New Roman"/>
          <w:sz w:val="28"/>
        </w:rPr>
      </w:pPr>
    </w:p>
    <w:p w14:paraId="24000000">
      <w:pPr>
        <w:ind/>
        <w:jc w:val="center"/>
        <w:rPr>
          <w:rFonts w:ascii="Times New Roman" w:hAnsi="Times New Roman"/>
          <w:sz w:val="28"/>
        </w:rPr>
      </w:pPr>
    </w:p>
    <w:p w14:paraId="25000000">
      <w:pPr>
        <w:ind/>
        <w:jc w:val="center"/>
        <w:rPr>
          <w:rFonts w:ascii="Times New Roman" w:hAnsi="Times New Roman"/>
          <w:sz w:val="28"/>
        </w:rPr>
      </w:pPr>
    </w:p>
    <w:p w14:paraId="26000000">
      <w:pPr>
        <w:ind/>
        <w:jc w:val="center"/>
        <w:rPr>
          <w:rFonts w:ascii="Times New Roman" w:hAnsi="Times New Roman"/>
          <w:sz w:val="28"/>
        </w:rPr>
      </w:pPr>
    </w:p>
    <w:p w14:paraId="27000000">
      <w:pPr>
        <w:ind/>
        <w:jc w:val="center"/>
        <w:rPr>
          <w:rFonts w:ascii="Times New Roman" w:hAnsi="Times New Roman"/>
          <w:sz w:val="28"/>
        </w:rPr>
      </w:pPr>
      <w:bookmarkStart w:id="1" w:name="_GoBack"/>
      <w:bookmarkEnd w:id="1"/>
    </w:p>
    <w:p w14:paraId="28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Высокогорский муниципальный район, Республика Татарстан (Татарстан)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2025</w:t>
      </w:r>
    </w:p>
    <w:p w14:paraId="29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</w:t>
      </w:r>
    </w:p>
    <w:p w14:paraId="2A000000">
      <w:pPr>
        <w:spacing w:line="276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Учебный план начального общего образования</w:t>
      </w:r>
      <w:r>
        <w:rPr>
          <w:rStyle w:val="Style_2_ch"/>
          <w:rFonts w:ascii="Times New Roman" w:hAnsi="Times New Roman"/>
          <w:sz w:val="28"/>
        </w:rPr>
        <w:t xml:space="preserve"> муниципальное бюджетное общеобразовательное учреждение ``Большебитаманская основная общеобразовательная школа Высокогорского муниципального района Республики Татарстан``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(далее - учебный план) для 1-4 классов, реализующих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основную образовательную программу начального общего образования, соответствующ</w:t>
      </w:r>
      <w:r>
        <w:rPr>
          <w:rStyle w:val="Style_2_ch"/>
          <w:rFonts w:ascii="Times New Roman" w:hAnsi="Times New Roman"/>
          <w:sz w:val="28"/>
        </w:rPr>
        <w:t>ую</w:t>
      </w:r>
      <w:r>
        <w:rPr>
          <w:rStyle w:val="Style_2_ch"/>
          <w:rFonts w:ascii="Times New Roman" w:hAnsi="Times New Roman"/>
          <w:sz w:val="28"/>
        </w:rPr>
        <w:t xml:space="preserve"> ФГОС НОО</w:t>
      </w:r>
      <w:r>
        <w:rPr>
          <w:rStyle w:val="Style_2_ch"/>
          <w:rFonts w:ascii="Times New Roman" w:hAnsi="Times New Roman"/>
          <w:sz w:val="28"/>
        </w:rPr>
        <w:t xml:space="preserve"> (приказ Министерства просвещения Российской Федерации от 18.05.2023 № 372 «Об утверждении федеральной образовательной программы нач</w:t>
      </w:r>
      <w:r>
        <w:rPr>
          <w:rStyle w:val="Style_2_ch"/>
          <w:rFonts w:ascii="Times New Roman" w:hAnsi="Times New Roman"/>
          <w:sz w:val="28"/>
        </w:rPr>
        <w:t>ального общего образования»)</w:t>
      </w:r>
      <w:r>
        <w:rPr>
          <w:rStyle w:val="Style_2_ch"/>
          <w:rFonts w:ascii="Times New Roman" w:hAnsi="Times New Roman"/>
          <w:sz w:val="28"/>
        </w:rPr>
        <w:t xml:space="preserve">, </w:t>
      </w:r>
      <w:r>
        <w:rPr>
          <w:rStyle w:val="Style_2_ch"/>
          <w:rFonts w:ascii="Times New Roman" w:hAnsi="Times New Roman"/>
          <w:sz w:val="28"/>
        </w:rPr>
        <w:t xml:space="preserve">фиксирует общий объём нагрузки, максимальный объём аудиторной нагрузки обучающихся, состав и структуру предметных областей, </w:t>
      </w:r>
      <w:r>
        <w:rPr>
          <w:rStyle w:val="Style_2_ch"/>
          <w:rFonts w:ascii="Times New Roman" w:hAnsi="Times New Roman"/>
          <w:sz w:val="28"/>
        </w:rPr>
        <w:t>распределяет учебное время, отводимое на их освоение по классам и учебным предметам.</w:t>
      </w:r>
    </w:p>
    <w:p w14:paraId="2B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Учебный план является частью образовательной программы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муниципального бюджетного общеобразовательного учреждения ``Большебитаманская основная общеобразовательная школа Высокогорского муниципального района Республики Татарстан``</w:t>
      </w:r>
      <w:r>
        <w:rPr>
          <w:rStyle w:val="Style_2_ch"/>
          <w:rFonts w:ascii="Times New Roman" w:hAnsi="Times New Roman"/>
          <w:sz w:val="28"/>
        </w:rPr>
        <w:t>,</w:t>
      </w:r>
      <w:r>
        <w:rPr>
          <w:rStyle w:val="Style_2_ch"/>
          <w:rFonts w:ascii="Times New Roman" w:hAnsi="Times New Roman"/>
          <w:sz w:val="28"/>
        </w:rPr>
        <w:t xml:space="preserve"> разработанной в соответствии с ФГОС начального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общего образования</w:t>
      </w:r>
      <w:r>
        <w:rPr>
          <w:rStyle w:val="Style_2_ch"/>
          <w:rFonts w:ascii="Times New Roman" w:hAnsi="Times New Roman"/>
          <w:sz w:val="28"/>
        </w:rPr>
        <w:t>,</w:t>
      </w:r>
      <w:r>
        <w:rPr>
          <w:rStyle w:val="Style_2_ch"/>
          <w:rFonts w:ascii="Times New Roman" w:hAnsi="Times New Roman"/>
          <w:sz w:val="28"/>
        </w:rPr>
        <w:t xml:space="preserve"> с учетом </w:t>
      </w:r>
      <w:r>
        <w:rPr>
          <w:rStyle w:val="Style_2_ch"/>
          <w:rFonts w:ascii="Times New Roman" w:hAnsi="Times New Roman"/>
          <w:sz w:val="28"/>
        </w:rPr>
        <w:t xml:space="preserve">Федеральной </w:t>
      </w:r>
      <w:r>
        <w:rPr>
          <w:rStyle w:val="Style_2_ch"/>
          <w:rFonts w:ascii="Times New Roman" w:hAnsi="Times New Roman"/>
          <w:sz w:val="28"/>
        </w:rPr>
        <w:t>образовательн</w:t>
      </w:r>
      <w:r>
        <w:rPr>
          <w:rStyle w:val="Style_2_ch"/>
          <w:rFonts w:ascii="Times New Roman" w:hAnsi="Times New Roman"/>
          <w:sz w:val="28"/>
        </w:rPr>
        <w:t>ой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программ</w:t>
      </w:r>
      <w:r>
        <w:rPr>
          <w:rStyle w:val="Style_2_ch"/>
          <w:rFonts w:ascii="Times New Roman" w:hAnsi="Times New Roman"/>
          <w:sz w:val="28"/>
        </w:rPr>
        <w:t>ой</w:t>
      </w:r>
      <w:r>
        <w:rPr>
          <w:rStyle w:val="Style_2_ch"/>
          <w:rFonts w:ascii="Times New Roman" w:hAnsi="Times New Roman"/>
          <w:sz w:val="28"/>
        </w:rPr>
        <w:t xml:space="preserve"> начального общего образования</w:t>
      </w:r>
      <w:r>
        <w:rPr>
          <w:rStyle w:val="Style_2_ch"/>
          <w:rFonts w:ascii="Times New Roman" w:hAnsi="Times New Roman"/>
          <w:sz w:val="28"/>
        </w:rPr>
        <w:t>,</w:t>
      </w:r>
      <w:r>
        <w:rPr>
          <w:rStyle w:val="Style_2_ch"/>
          <w:rFonts w:ascii="Times New Roman" w:hAnsi="Times New Roman"/>
          <w:sz w:val="28"/>
        </w:rPr>
        <w:t xml:space="preserve"> и обеспечивает выполнение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санитарно-эпидемиологических требований СП 2.4.3648-20 и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гигиенических нормативов и требований СанПиН 1.2.3685-21.</w:t>
      </w:r>
    </w:p>
    <w:p w14:paraId="2C000000">
      <w:pPr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Учебный год в </w:t>
      </w:r>
      <w:r>
        <w:rPr>
          <w:rStyle w:val="Style_2_ch"/>
          <w:rFonts w:ascii="Times New Roman" w:hAnsi="Times New Roman"/>
          <w:sz w:val="28"/>
        </w:rPr>
        <w:t>муниципальном бюджетном общеобразовательном учреждении ``Большебита</w:t>
      </w:r>
      <w:r>
        <w:rPr>
          <w:rStyle w:val="Style_2_ch"/>
          <w:rFonts w:ascii="Times New Roman" w:hAnsi="Times New Roman"/>
          <w:sz w:val="28"/>
        </w:rPr>
        <w:t>манская основная общеобразовательная школа Высокогорского муниципального района Республики Татарстан``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начинается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01.09.2025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и заканчивается </w:t>
      </w:r>
      <w:r>
        <w:rPr>
          <w:rFonts w:ascii="Times New Roman" w:hAnsi="Times New Roman"/>
          <w:sz w:val="28"/>
        </w:rPr>
        <w:t>26.05.2026</w:t>
      </w:r>
      <w:r>
        <w:rPr>
          <w:rFonts w:ascii="Times New Roman" w:hAnsi="Times New Roman"/>
          <w:sz w:val="28"/>
        </w:rPr>
        <w:t xml:space="preserve">. </w:t>
      </w:r>
    </w:p>
    <w:p w14:paraId="2D000000">
      <w:pPr>
        <w:spacing w:line="276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2E000000">
      <w:pPr>
        <w:spacing w:line="276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Максимальный объем аудиторной нагрузки обучающихся в неделю составляет 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в 1 классе - 20 час, во 2 – 4 классах – 26 часов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.</w:t>
      </w:r>
    </w:p>
    <w:p w14:paraId="2F000000">
      <w:pPr>
        <w:spacing w:line="276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30000000">
      <w:pPr>
        <w:pStyle w:val="Style_3"/>
        <w:numPr>
          <w:ilvl w:val="0"/>
          <w:numId w:val="1"/>
        </w:numPr>
        <w:spacing w:line="276" w:lineRule="auto"/>
        <w:ind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для обучающихся 1-х классов - не превышает 4 уроков.</w:t>
      </w:r>
    </w:p>
    <w:p w14:paraId="31000000">
      <w:pPr>
        <w:pStyle w:val="Style_3"/>
        <w:numPr>
          <w:ilvl w:val="0"/>
          <w:numId w:val="1"/>
        </w:numPr>
        <w:spacing w:line="276" w:lineRule="auto"/>
        <w:ind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для обучающихся 2-4 классов - не более 5 уроков.</w:t>
      </w:r>
    </w:p>
    <w:p w14:paraId="32000000">
      <w:pPr>
        <w:spacing w:line="276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</w:p>
    <w:p w14:paraId="33000000">
      <w:pPr>
        <w:spacing w:line="276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34000000">
      <w:pPr>
        <w:spacing w:line="276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Изложение нового материала, контрольные работы проводятся на 2 - 4-х уроках в середине учеб</w:t>
      </w:r>
      <w:r>
        <w:rPr>
          <w:rStyle w:val="Style_2_ch"/>
          <w:rFonts w:ascii="Times New Roman" w:hAnsi="Times New Roman"/>
          <w:sz w:val="28"/>
        </w:rPr>
        <w:t xml:space="preserve">ной недели. Продолжительность урока (академический час) составляет </w:t>
      </w:r>
      <w:r>
        <w:rPr>
          <w:rFonts w:ascii="Times New Roman" w:hAnsi="Times New Roman"/>
          <w:sz w:val="28"/>
        </w:rPr>
        <w:t>45</w:t>
      </w:r>
      <w:r>
        <w:rPr>
          <w:rStyle w:val="Style_2_ch"/>
          <w:rFonts w:ascii="Times New Roman" w:hAnsi="Times New Roman"/>
          <w:sz w:val="28"/>
        </w:rPr>
        <w:t xml:space="preserve"> минут, за исключением 1 класса.</w:t>
      </w:r>
    </w:p>
    <w:p w14:paraId="35000000">
      <w:pPr>
        <w:spacing w:line="276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36000000">
      <w:pPr>
        <w:pStyle w:val="Style_3"/>
        <w:numPr>
          <w:ilvl w:val="0"/>
          <w:numId w:val="2"/>
        </w:numPr>
        <w:spacing w:line="276" w:lineRule="auto"/>
        <w:ind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учебные занятия проводятся по 5-дневной учебной неделе и только в первую смену;</w:t>
      </w:r>
    </w:p>
    <w:p w14:paraId="37000000">
      <w:pPr>
        <w:pStyle w:val="Style_3"/>
        <w:numPr>
          <w:ilvl w:val="0"/>
          <w:numId w:val="2"/>
        </w:numPr>
        <w:spacing w:line="276" w:lineRule="auto"/>
        <w:ind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38000000">
      <w:pPr>
        <w:pStyle w:val="Style_3"/>
        <w:numPr>
          <w:ilvl w:val="0"/>
          <w:numId w:val="2"/>
        </w:numPr>
        <w:spacing w:line="276" w:lineRule="auto"/>
        <w:ind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Продолжительность выполнения домашних заданий составляет во 2-3 классах - 1,5 ч., в 4 классах - 2 ч.</w:t>
      </w:r>
    </w:p>
    <w:p w14:paraId="39000000">
      <w:pPr>
        <w:spacing w:line="276" w:lineRule="auto"/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3A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Учебные занятия для учащихся 2-4 классов проводятся по</w:t>
      </w:r>
      <w:r>
        <w:rPr>
          <w:rStyle w:val="Style_2_ch"/>
          <w:rFonts w:ascii="Times New Roman" w:hAnsi="Times New Roman"/>
          <w:sz w:val="28"/>
        </w:rPr>
        <w:t xml:space="preserve"> 6</w:t>
      </w:r>
      <w:r>
        <w:rPr>
          <w:rStyle w:val="Style_2_ch"/>
          <w:rFonts w:ascii="Times New Roman" w:hAnsi="Times New Roman"/>
          <w:sz w:val="28"/>
        </w:rPr>
        <w:t>-</w:t>
      </w:r>
      <w:r>
        <w:rPr>
          <w:rStyle w:val="Style_2_ch"/>
          <w:rFonts w:ascii="Times New Roman" w:hAnsi="Times New Roman"/>
          <w:sz w:val="28"/>
        </w:rPr>
        <w:t>и</w:t>
      </w:r>
      <w:r>
        <w:rPr>
          <w:rStyle w:val="Style_2_ch"/>
          <w:rFonts w:ascii="Times New Roman" w:hAnsi="Times New Roman"/>
          <w:sz w:val="28"/>
        </w:rPr>
        <w:t xml:space="preserve"> дневной учебной неделе.</w:t>
      </w:r>
    </w:p>
    <w:p w14:paraId="3B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>
        <w:rPr>
          <w:rStyle w:val="Style_2_ch"/>
          <w:rFonts w:ascii="Times New Roman" w:hAnsi="Times New Roman"/>
          <w:sz w:val="28"/>
        </w:rPr>
        <w:t>учебного плана определяет состав учебных предметов обязательных предметных областей.</w:t>
      </w:r>
    </w:p>
    <w:p w14:paraId="3C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D000000">
      <w:pPr>
        <w:ind w:firstLine="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В </w:t>
      </w:r>
      <w:r>
        <w:rPr>
          <w:rStyle w:val="Style_2_ch"/>
          <w:rFonts w:ascii="Times New Roman" w:hAnsi="Times New Roman"/>
          <w:sz w:val="28"/>
        </w:rPr>
        <w:t>муниципальное бюджетное общеобразовательное учреждение ``Большебитаманская средняя общеобразовательная школа Высокогорского муниципального района Республики Татарстан``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языком об</w:t>
      </w:r>
      <w:r>
        <w:rPr>
          <w:rStyle w:val="Style_2_ch"/>
          <w:rFonts w:ascii="Times New Roman" w:hAnsi="Times New Roman"/>
          <w:sz w:val="28"/>
        </w:rPr>
        <w:t>учения</w:t>
      </w:r>
      <w:r>
        <w:rPr>
          <w:rStyle w:val="Style_2_ch"/>
          <w:rFonts w:ascii="Times New Roman" w:hAnsi="Times New Roman"/>
          <w:sz w:val="28"/>
        </w:rPr>
        <w:t xml:space="preserve"> является </w:t>
      </w:r>
      <w:r>
        <w:rPr>
          <w:rFonts w:ascii="Times New Roman" w:hAnsi="Times New Roman"/>
          <w:sz w:val="28"/>
        </w:rPr>
        <w:t xml:space="preserve">татарский </w:t>
      </w:r>
      <w:r>
        <w:rPr>
          <w:rFonts w:ascii="Times New Roman" w:hAnsi="Times New Roman"/>
          <w:sz w:val="28"/>
        </w:rPr>
        <w:t>язык</w:t>
      </w:r>
      <w:r>
        <w:rPr>
          <w:rFonts w:ascii="Times New Roman" w:hAnsi="Times New Roman"/>
          <w:sz w:val="28"/>
        </w:rPr>
        <w:t>.</w:t>
      </w:r>
    </w:p>
    <w:p w14:paraId="3E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По заявлению родителей (законных представителей) несовершеннолетних обучающихся осуществляется изучение родного языка (татарского) и родной литературы (татарской) из числа языков народов РФ, государственных языков республик РФ.</w:t>
      </w:r>
    </w:p>
    <w:p w14:paraId="3F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>
        <w:rPr>
          <w:rStyle w:val="Style_2_ch"/>
          <w:rFonts w:ascii="Times New Roman" w:hAnsi="Times New Roman"/>
          <w:sz w:val="28"/>
        </w:rPr>
        <w:t>. Модуль «Светская этика».</w:t>
      </w:r>
    </w:p>
    <w:p w14:paraId="40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Промежуточная аттестация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–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процедура, проводимая с целью оценки качества освоения обучающимися части содержания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(четвертное оценивание) или всего объема учебной дисциплины за учебный год (годовое оценивание).</w:t>
      </w:r>
    </w:p>
    <w:p w14:paraId="41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Промежуточная</w:t>
      </w:r>
      <w:r>
        <w:rPr>
          <w:rStyle w:val="Style_2_ch"/>
          <w:rFonts w:ascii="Times New Roman" w:hAnsi="Times New Roman"/>
          <w:sz w:val="28"/>
        </w:rPr>
        <w:t xml:space="preserve"> аттестация за четверть и </w:t>
      </w:r>
      <w:r>
        <w:rPr>
          <w:rStyle w:val="Style_2_ch"/>
          <w:rFonts w:ascii="Times New Roman" w:hAnsi="Times New Roman"/>
          <w:sz w:val="28"/>
        </w:rPr>
        <w:t>годовая аттестация обучающихся осуществляется в соответствии с календарным учебным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графиком.</w:t>
      </w:r>
    </w:p>
    <w:p w14:paraId="42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43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Промежуточная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аттестация проходит на последнем месяце учебного года.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Style_2_ch"/>
          <w:rFonts w:ascii="Times New Roman" w:hAnsi="Times New Roman"/>
          <w:sz w:val="28"/>
        </w:rPr>
        <w:br/>
      </w:r>
      <w:r>
        <w:rPr>
          <w:rStyle w:val="Style_2_ch"/>
          <w:rFonts w:ascii="Times New Roman" w:hAnsi="Times New Roman"/>
          <w:sz w:val="28"/>
        </w:rPr>
        <w:t xml:space="preserve">текущего контроля успеваемости и промежуточной аттестации обучающихся </w:t>
      </w:r>
      <w:r>
        <w:rPr>
          <w:rStyle w:val="Style_2_ch"/>
          <w:rFonts w:ascii="Times New Roman" w:hAnsi="Times New Roman"/>
          <w:sz w:val="28"/>
        </w:rPr>
        <w:t xml:space="preserve">муниципальное бюджетное общеобразовательное учреждение </w:t>
      </w:r>
      <w:r>
        <w:rPr>
          <w:rStyle w:val="Style_2_ch"/>
          <w:rFonts w:ascii="Times New Roman" w:hAnsi="Times New Roman"/>
          <w:sz w:val="28"/>
        </w:rPr>
        <w:t>``Большебитаманская основная общеобразовательная школа Высокогорского муниципального района Республики Татарстан``</w:t>
      </w:r>
      <w:r>
        <w:rPr>
          <w:rStyle w:val="Style_2_ch"/>
          <w:rFonts w:ascii="Times New Roman" w:hAnsi="Times New Roman"/>
          <w:sz w:val="28"/>
        </w:rPr>
        <w:t>.</w:t>
      </w:r>
      <w:r>
        <w:rPr>
          <w:rStyle w:val="Style_2_ch"/>
          <w:rFonts w:ascii="Times New Roman" w:hAnsi="Times New Roman"/>
          <w:sz w:val="28"/>
        </w:rPr>
        <w:t xml:space="preserve"> </w:t>
      </w:r>
    </w:p>
    <w:p w14:paraId="44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45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Освоение основных образовательных программ начального общего образования завершается итоговой аттестацией.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Нормативный срок освоения ООП НОО составляет 4 года</w:t>
      </w:r>
      <w:r>
        <w:rPr>
          <w:rStyle w:val="Style_2_ch"/>
          <w:rFonts w:ascii="Times New Roman" w:hAnsi="Times New Roman"/>
          <w:sz w:val="28"/>
        </w:rPr>
        <w:t>.</w:t>
      </w:r>
    </w:p>
    <w:p w14:paraId="46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</w:p>
    <w:p w14:paraId="47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</w:p>
    <w:p w14:paraId="48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</w:p>
    <w:p w14:paraId="49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</w:p>
    <w:p w14:paraId="4A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</w:p>
    <w:p w14:paraId="4B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</w:p>
    <w:p w14:paraId="4C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</w:p>
    <w:p w14:paraId="4D000000">
      <w:pPr>
        <w:rPr>
          <w:rStyle w:val="Style_2_ch"/>
          <w:rFonts w:ascii="Times New Roman" w:hAnsi="Times New Roman"/>
          <w:sz w:val="28"/>
        </w:rPr>
      </w:pPr>
    </w:p>
    <w:p w14:paraId="4E000000">
      <w:pPr>
        <w:sectPr>
          <w:pgSz w:h="16838" w:orient="portrait" w:w="11906"/>
          <w:pgMar w:bottom="1134" w:footer="708" w:gutter="0" w:header="708" w:left="1134" w:right="850" w:top="1134"/>
        </w:sectPr>
      </w:pPr>
    </w:p>
    <w:p w14:paraId="4F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УЧЕБНЫЙ ПЛАН</w:t>
      </w:r>
    </w:p>
    <w:p w14:paraId="50000000">
      <w:pPr>
        <w:ind w:firstLine="567"/>
        <w:jc w:val="both"/>
        <w:rPr>
          <w:rStyle w:val="Style_2_ch"/>
          <w:rFonts w:ascii="Times New Roman" w:hAnsi="Times New Roman"/>
          <w:sz w:val="28"/>
        </w:rPr>
      </w:pPr>
    </w:p>
    <w:tbl>
      <w:tblPr>
        <w:tblStyle w:val="Style_1"/>
        <w:tblLayout w:type="fixed"/>
      </w:tblPr>
      <w:tblGrid>
        <w:gridCol w:w="4024"/>
        <w:gridCol w:w="4024"/>
        <w:gridCol w:w="1626"/>
        <w:gridCol w:w="1626"/>
        <w:gridCol w:w="1626"/>
        <w:gridCol w:w="1626"/>
      </w:tblGrid>
      <w:tr>
        <w:tc>
          <w:tcPr>
            <w:tcW w:type="dxa" w:w="4024"/>
            <w:vMerge w:val="restart"/>
            <w:shd w:fill="D9D9D9" w:val="clear"/>
          </w:tcPr>
          <w:p w14:paraId="5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Предметная область</w:t>
            </w:r>
          </w:p>
        </w:tc>
        <w:tc>
          <w:tcPr>
            <w:tcW w:type="dxa" w:w="4024"/>
            <w:vMerge w:val="restart"/>
            <w:shd w:fill="D9D9D9" w:val="clear"/>
          </w:tcPr>
          <w:p w14:paraId="5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Учебный предмет/курс</w:t>
            </w:r>
          </w:p>
        </w:tc>
        <w:tc>
          <w:tcPr>
            <w:tcW w:type="dxa" w:w="6504"/>
            <w:gridSpan w:val="4"/>
            <w:shd w:fill="D9D9D9" w:val="clear"/>
          </w:tcPr>
          <w:p w14:paraId="5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Количество часов в неделю</w:t>
            </w:r>
          </w:p>
        </w:tc>
      </w:tr>
      <w:tr>
        <w:tc>
          <w:tcPr>
            <w:tcW w:type="dxa" w:w="4024"/>
            <w:gridSpan w:val="1"/>
            <w:vMerge w:val="continue"/>
            <w:shd w:fill="D9D9D9" w:val="clear"/>
          </w:tcPr>
          <w:p/>
        </w:tc>
        <w:tc>
          <w:tcPr>
            <w:tcW w:type="dxa" w:w="4024"/>
            <w:gridSpan w:val="1"/>
            <w:vMerge w:val="continue"/>
            <w:shd w:fill="D9D9D9" w:val="clear"/>
          </w:tcPr>
          <w:p/>
        </w:tc>
        <w:tc>
          <w:tcPr>
            <w:tcW w:type="dxa" w:w="1626"/>
            <w:shd w:fill="D9D9D9" w:val="clear"/>
          </w:tcPr>
          <w:p w14:paraId="5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1626"/>
            <w:shd w:fill="D9D9D9" w:val="clear"/>
          </w:tcPr>
          <w:p w14:paraId="5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1626"/>
            <w:shd w:fill="D9D9D9" w:val="clear"/>
          </w:tcPr>
          <w:p w14:paraId="5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1626"/>
            <w:shd w:fill="D9D9D9" w:val="clear"/>
          </w:tcPr>
          <w:p w14:paraId="5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</w:tr>
      <w:tr>
        <w:tc>
          <w:tcPr>
            <w:tcW w:type="dxa" w:w="14552"/>
            <w:gridSpan w:val="6"/>
            <w:shd w:fill="FFFFB3" w:val="clear"/>
          </w:tcPr>
          <w:p w14:paraId="5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Обязательная часть</w:t>
            </w:r>
          </w:p>
        </w:tc>
      </w:tr>
      <w:tr>
        <w:tc>
          <w:tcPr>
            <w:tcW w:type="dxa" w:w="4024"/>
            <w:vMerge w:val="restart"/>
          </w:tcPr>
          <w:p w14:paraId="5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литературное чтение</w:t>
            </w:r>
          </w:p>
        </w:tc>
        <w:tc>
          <w:tcPr>
            <w:tcW w:type="dxa" w:w="4024"/>
          </w:tcPr>
          <w:p w14:paraId="5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type="dxa" w:w="1626"/>
          </w:tcPr>
          <w:p w14:paraId="5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626"/>
          </w:tcPr>
          <w:p w14:paraId="5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626"/>
          </w:tcPr>
          <w:p w14:paraId="5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626"/>
          </w:tcPr>
          <w:p w14:paraId="5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>
        <w:tc>
          <w:tcPr>
            <w:tcW w:type="dxa" w:w="4024"/>
            <w:gridSpan w:val="1"/>
            <w:vMerge w:val="continue"/>
          </w:tcPr>
          <w:p/>
        </w:tc>
        <w:tc>
          <w:tcPr>
            <w:tcW w:type="dxa" w:w="4024"/>
          </w:tcPr>
          <w:p w14:paraId="5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type="dxa" w:w="1626"/>
          </w:tcPr>
          <w:p w14:paraId="6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626"/>
          </w:tcPr>
          <w:p w14:paraId="6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626"/>
          </w:tcPr>
          <w:p w14:paraId="6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626"/>
          </w:tcPr>
          <w:p w14:paraId="6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c>
          <w:tcPr>
            <w:tcW w:type="dxa" w:w="4024"/>
            <w:vMerge w:val="restart"/>
          </w:tcPr>
          <w:p w14:paraId="6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и литературное чтение на родном языке</w:t>
            </w:r>
          </w:p>
        </w:tc>
        <w:tc>
          <w:tcPr>
            <w:tcW w:type="dxa" w:w="4024"/>
          </w:tcPr>
          <w:p w14:paraId="6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type="dxa" w:w="1626"/>
          </w:tcPr>
          <w:p w14:paraId="6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626"/>
          </w:tcPr>
          <w:p w14:paraId="6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626"/>
          </w:tcPr>
          <w:p w14:paraId="6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626"/>
          </w:tcPr>
          <w:p w14:paraId="6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c>
          <w:tcPr>
            <w:tcW w:type="dxa" w:w="4024"/>
            <w:gridSpan w:val="1"/>
            <w:vMerge w:val="continue"/>
          </w:tcPr>
          <w:p/>
        </w:tc>
        <w:tc>
          <w:tcPr>
            <w:tcW w:type="dxa" w:w="4024"/>
          </w:tcPr>
          <w:p w14:paraId="6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 на родном языке</w:t>
            </w:r>
          </w:p>
        </w:tc>
        <w:tc>
          <w:tcPr>
            <w:tcW w:type="dxa" w:w="1626"/>
          </w:tcPr>
          <w:p w14:paraId="6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626"/>
          </w:tcPr>
          <w:p w14:paraId="6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626"/>
          </w:tcPr>
          <w:p w14:paraId="6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626"/>
          </w:tcPr>
          <w:p w14:paraId="6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024"/>
          </w:tcPr>
          <w:p w14:paraId="6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type="dxa" w:w="4024"/>
          </w:tcPr>
          <w:p w14:paraId="7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type="dxa" w:w="1626"/>
          </w:tcPr>
          <w:p w14:paraId="7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626"/>
          </w:tcPr>
          <w:p w14:paraId="7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626"/>
          </w:tcPr>
          <w:p w14:paraId="7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626"/>
          </w:tcPr>
          <w:p w14:paraId="7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024"/>
          </w:tcPr>
          <w:p w14:paraId="7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type="dxa" w:w="4024"/>
          </w:tcPr>
          <w:p w14:paraId="7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type="dxa" w:w="1626"/>
          </w:tcPr>
          <w:p w14:paraId="7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626"/>
          </w:tcPr>
          <w:p w14:paraId="7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626"/>
          </w:tcPr>
          <w:p w14:paraId="7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626"/>
          </w:tcPr>
          <w:p w14:paraId="7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c>
          <w:tcPr>
            <w:tcW w:type="dxa" w:w="4024"/>
          </w:tcPr>
          <w:p w14:paraId="7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 и естествознание ("окружающий мир")</w:t>
            </w:r>
          </w:p>
        </w:tc>
        <w:tc>
          <w:tcPr>
            <w:tcW w:type="dxa" w:w="4024"/>
          </w:tcPr>
          <w:p w14:paraId="7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type="dxa" w:w="1626"/>
          </w:tcPr>
          <w:p w14:paraId="7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626"/>
          </w:tcPr>
          <w:p w14:paraId="7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626"/>
          </w:tcPr>
          <w:p w14:paraId="7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626"/>
          </w:tcPr>
          <w:p w14:paraId="8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c>
          <w:tcPr>
            <w:tcW w:type="dxa" w:w="4024"/>
          </w:tcPr>
          <w:p w14:paraId="8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type="dxa" w:w="4024"/>
          </w:tcPr>
          <w:p w14:paraId="8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type="dxa" w:w="1626"/>
          </w:tcPr>
          <w:p w14:paraId="8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626"/>
          </w:tcPr>
          <w:p w14:paraId="8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626"/>
          </w:tcPr>
          <w:p w14:paraId="8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626"/>
          </w:tcPr>
          <w:p w14:paraId="8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024"/>
            <w:vMerge w:val="restart"/>
          </w:tcPr>
          <w:p w14:paraId="8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</w:t>
            </w:r>
          </w:p>
        </w:tc>
        <w:tc>
          <w:tcPr>
            <w:tcW w:type="dxa" w:w="4024"/>
          </w:tcPr>
          <w:p w14:paraId="8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type="dxa" w:w="1626"/>
          </w:tcPr>
          <w:p w14:paraId="8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type="dxa" w:w="1626"/>
          </w:tcPr>
          <w:p w14:paraId="8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type="dxa" w:w="1626"/>
          </w:tcPr>
          <w:p w14:paraId="8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type="dxa" w:w="1626"/>
          </w:tcPr>
          <w:p w14:paraId="8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</w:tr>
      <w:tr>
        <w:tc>
          <w:tcPr>
            <w:tcW w:type="dxa" w:w="4024"/>
            <w:gridSpan w:val="1"/>
            <w:vMerge w:val="continue"/>
          </w:tcPr>
          <w:p/>
        </w:tc>
        <w:tc>
          <w:tcPr>
            <w:tcW w:type="dxa" w:w="4024"/>
          </w:tcPr>
          <w:p w14:paraId="8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type="dxa" w:w="1626"/>
          </w:tcPr>
          <w:p w14:paraId="8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type="dxa" w:w="1626"/>
          </w:tcPr>
          <w:p w14:paraId="8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type="dxa" w:w="1626"/>
          </w:tcPr>
          <w:p w14:paraId="9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type="dxa" w:w="1626"/>
          </w:tcPr>
          <w:p w14:paraId="9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</w:tr>
      <w:tr>
        <w:tc>
          <w:tcPr>
            <w:tcW w:type="dxa" w:w="4024"/>
          </w:tcPr>
          <w:p w14:paraId="9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type="dxa" w:w="4024"/>
          </w:tcPr>
          <w:p w14:paraId="9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type="dxa" w:w="1626"/>
          </w:tcPr>
          <w:p w14:paraId="9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626"/>
          </w:tcPr>
          <w:p w14:paraId="9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626"/>
          </w:tcPr>
          <w:p w14:paraId="9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626"/>
          </w:tcPr>
          <w:p w14:paraId="9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024"/>
          </w:tcPr>
          <w:p w14:paraId="9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type="dxa" w:w="4024"/>
          </w:tcPr>
          <w:p w14:paraId="9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type="dxa" w:w="1626"/>
          </w:tcPr>
          <w:p w14:paraId="9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626"/>
          </w:tcPr>
          <w:p w14:paraId="9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626"/>
          </w:tcPr>
          <w:p w14:paraId="9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626"/>
          </w:tcPr>
          <w:p w14:paraId="9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8048"/>
            <w:gridSpan w:val="2"/>
            <w:shd w:fill="00FF00" w:val="clear"/>
          </w:tcPr>
          <w:p w14:paraId="9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626"/>
            <w:shd w:fill="00FF00" w:val="clear"/>
          </w:tcPr>
          <w:p w14:paraId="9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1626"/>
            <w:shd w:fill="00FF00" w:val="clear"/>
          </w:tcPr>
          <w:p w14:paraId="A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1626"/>
            <w:shd w:fill="00FF00" w:val="clear"/>
          </w:tcPr>
          <w:p w14:paraId="A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1626"/>
            <w:shd w:fill="00FF00" w:val="clear"/>
          </w:tcPr>
          <w:p w14:paraId="A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>
        <w:tc>
          <w:tcPr>
            <w:tcW w:type="dxa" w:w="14552"/>
            <w:gridSpan w:val="6"/>
            <w:shd w:fill="FFFFB3" w:val="clear"/>
          </w:tcPr>
          <w:p w14:paraId="A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Часть, формируемая участниками образовательных отношений</w:t>
            </w:r>
          </w:p>
        </w:tc>
      </w:tr>
      <w:tr>
        <w:tc>
          <w:tcPr>
            <w:tcW w:type="dxa" w:w="8048"/>
            <w:gridSpan w:val="2"/>
            <w:shd w:fill="D9D9D9" w:val="clear"/>
          </w:tcPr>
          <w:p w14:paraId="A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Наименование учебного курса</w:t>
            </w:r>
          </w:p>
        </w:tc>
        <w:tc>
          <w:tcPr>
            <w:tcW w:type="dxa" w:w="1626"/>
            <w:shd w:fill="D9D9D9" w:val="clear"/>
          </w:tcPr>
          <w:p w14:paraId="A5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626"/>
            <w:shd w:fill="D9D9D9" w:val="clear"/>
          </w:tcPr>
          <w:p w14:paraId="A6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626"/>
            <w:shd w:fill="D9D9D9" w:val="clear"/>
          </w:tcPr>
          <w:p w14:paraId="A7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626"/>
            <w:shd w:fill="D9D9D9" w:val="clear"/>
          </w:tcPr>
          <w:p w14:paraId="A800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8048"/>
            <w:gridSpan w:val="2"/>
          </w:tcPr>
          <w:p w14:paraId="A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type="dxa" w:w="1626"/>
          </w:tcPr>
          <w:p w14:paraId="A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626"/>
          </w:tcPr>
          <w:p w14:paraId="A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type="dxa" w:w="1626"/>
          </w:tcPr>
          <w:p w14:paraId="A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type="dxa" w:w="1626"/>
          </w:tcPr>
          <w:p w14:paraId="A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8048"/>
            <w:gridSpan w:val="2"/>
          </w:tcPr>
          <w:p w14:paraId="A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type="dxa" w:w="1626"/>
          </w:tcPr>
          <w:p w14:paraId="A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626"/>
          </w:tcPr>
          <w:p w14:paraId="B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type="dxa" w:w="1626"/>
          </w:tcPr>
          <w:p w14:paraId="B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type="dxa" w:w="1626"/>
          </w:tcPr>
          <w:p w14:paraId="B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8048"/>
            <w:gridSpan w:val="2"/>
          </w:tcPr>
          <w:p w14:paraId="B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type="dxa" w:w="1626"/>
          </w:tcPr>
          <w:p w14:paraId="B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626"/>
          </w:tcPr>
          <w:p w14:paraId="B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626"/>
          </w:tcPr>
          <w:p w14:paraId="B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626"/>
          </w:tcPr>
          <w:p w14:paraId="B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8048"/>
            <w:gridSpan w:val="2"/>
            <w:shd w:fill="00FF00" w:val="clear"/>
          </w:tcPr>
          <w:p w14:paraId="B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626"/>
            <w:shd w:fill="00FF00" w:val="clear"/>
          </w:tcPr>
          <w:p w14:paraId="B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626"/>
            <w:shd w:fill="00FF00" w:val="clear"/>
          </w:tcPr>
          <w:p w14:paraId="B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626"/>
            <w:shd w:fill="00FF00" w:val="clear"/>
          </w:tcPr>
          <w:p w14:paraId="B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626"/>
            <w:shd w:fill="00FF00" w:val="clear"/>
          </w:tcPr>
          <w:p w14:paraId="B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8048"/>
            <w:gridSpan w:val="2"/>
            <w:shd w:fill="00FF00" w:val="clear"/>
          </w:tcPr>
          <w:p w14:paraId="B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недельная нагрузка</w:t>
            </w:r>
          </w:p>
        </w:tc>
        <w:tc>
          <w:tcPr>
            <w:tcW w:type="dxa" w:w="1626"/>
            <w:shd w:fill="00FF00" w:val="clear"/>
          </w:tcPr>
          <w:p w14:paraId="B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1626"/>
            <w:shd w:fill="00FF00" w:val="clear"/>
          </w:tcPr>
          <w:p w14:paraId="B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1626"/>
            <w:shd w:fill="00FF00" w:val="clear"/>
          </w:tcPr>
          <w:p w14:paraId="C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1626"/>
            <w:shd w:fill="00FF00" w:val="clear"/>
          </w:tcPr>
          <w:p w14:paraId="C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>
        <w:tc>
          <w:tcPr>
            <w:tcW w:type="dxa" w:w="8048"/>
            <w:gridSpan w:val="2"/>
            <w:shd w:fill="FCE3FC" w:val="clear"/>
          </w:tcPr>
          <w:p w14:paraId="C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учебных недель</w:t>
            </w:r>
          </w:p>
        </w:tc>
        <w:tc>
          <w:tcPr>
            <w:tcW w:type="dxa" w:w="1626"/>
            <w:shd w:fill="FCE3FC" w:val="clear"/>
          </w:tcPr>
          <w:p w14:paraId="C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type="dxa" w:w="1626"/>
            <w:shd w:fill="FCE3FC" w:val="clear"/>
          </w:tcPr>
          <w:p w14:paraId="C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626"/>
            <w:shd w:fill="FCE3FC" w:val="clear"/>
          </w:tcPr>
          <w:p w14:paraId="C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1626"/>
            <w:shd w:fill="FCE3FC" w:val="clear"/>
          </w:tcPr>
          <w:p w14:paraId="C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>
        <w:tc>
          <w:tcPr>
            <w:tcW w:type="dxa" w:w="8048"/>
            <w:gridSpan w:val="2"/>
            <w:shd w:fill="FCE3FC" w:val="clear"/>
          </w:tcPr>
          <w:p w14:paraId="C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часов в год</w:t>
            </w:r>
          </w:p>
        </w:tc>
        <w:tc>
          <w:tcPr>
            <w:tcW w:type="dxa" w:w="1626"/>
            <w:shd w:fill="FCE3FC" w:val="clear"/>
          </w:tcPr>
          <w:p w14:paraId="C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</w:p>
        </w:tc>
        <w:tc>
          <w:tcPr>
            <w:tcW w:type="dxa" w:w="1626"/>
            <w:shd w:fill="FCE3FC" w:val="clear"/>
          </w:tcPr>
          <w:p w14:paraId="C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884</w:t>
            </w:r>
          </w:p>
        </w:tc>
        <w:tc>
          <w:tcPr>
            <w:tcW w:type="dxa" w:w="1626"/>
            <w:shd w:fill="FCE3FC" w:val="clear"/>
          </w:tcPr>
          <w:p w14:paraId="C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884</w:t>
            </w:r>
          </w:p>
        </w:tc>
        <w:tc>
          <w:tcPr>
            <w:tcW w:type="dxa" w:w="1626"/>
            <w:shd w:fill="FCE3FC" w:val="clear"/>
          </w:tcPr>
          <w:p w14:paraId="C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884</w:t>
            </w:r>
          </w:p>
        </w:tc>
      </w:tr>
    </w:tbl>
    <w:p w14:paraId="CC00000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CD000000">
      <w:pPr>
        <w:rPr>
          <w:rFonts w:ascii="Times New Roman" w:hAnsi="Times New Roman"/>
        </w:rPr>
      </w:pPr>
      <w:r>
        <w:rPr>
          <w:rFonts w:ascii="Times New Roman" w:hAnsi="Times New Roman"/>
          <w:b w:val="1"/>
          <w:sz w:val="32"/>
        </w:rPr>
        <w:t>План внеурочной деятельности (недельный)</w:t>
      </w:r>
    </w:p>
    <w:p w14:paraId="CE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бюджетное общеобразовательное </w:t>
      </w:r>
      <w:r>
        <w:rPr>
          <w:rFonts w:ascii="Times New Roman" w:hAnsi="Times New Roman"/>
        </w:rPr>
        <w:t>учреждение ``Большебитаманская основная общеобразовательная школа Высокогорского муниципального района Республики Татарстан``</w:t>
      </w:r>
    </w:p>
    <w:tbl>
      <w:tblPr>
        <w:tblStyle w:val="Style_1"/>
        <w:tblLayout w:type="fixed"/>
      </w:tblPr>
      <w:tblGrid>
        <w:gridCol w:w="4850"/>
        <w:gridCol w:w="2425"/>
        <w:gridCol w:w="2425"/>
        <w:gridCol w:w="2425"/>
        <w:gridCol w:w="2425"/>
      </w:tblGrid>
      <w:tr>
        <w:tc>
          <w:tcPr>
            <w:tcW w:type="dxa" w:w="4850"/>
            <w:vMerge w:val="restart"/>
            <w:shd w:fill="D9D9D9" w:val="clear"/>
          </w:tcPr>
          <w:p w14:paraId="C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Учебные курсы</w:t>
            </w:r>
          </w:p>
          <w:p w14:paraId="D0000000">
            <w:pPr>
              <w:rPr>
                <w:rFonts w:ascii="Times New Roman" w:hAnsi="Times New Roman"/>
              </w:rPr>
            </w:pPr>
          </w:p>
        </w:tc>
        <w:tc>
          <w:tcPr>
            <w:tcW w:type="dxa" w:w="9700"/>
            <w:gridSpan w:val="4"/>
            <w:shd w:fill="D9D9D9" w:val="clear"/>
          </w:tcPr>
          <w:p w14:paraId="D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Количество часов в неделю</w:t>
            </w:r>
          </w:p>
        </w:tc>
      </w:tr>
      <w:tr>
        <w:tc>
          <w:tcPr>
            <w:tcW w:type="dxa" w:w="4850"/>
            <w:gridSpan w:val="1"/>
            <w:vMerge w:val="continue"/>
            <w:shd w:fill="D9D9D9" w:val="clear"/>
          </w:tcPr>
          <w:p/>
        </w:tc>
        <w:tc>
          <w:tcPr>
            <w:tcW w:type="dxa" w:w="2425"/>
            <w:shd w:fill="D9D9D9" w:val="clear"/>
          </w:tcPr>
          <w:p w14:paraId="D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2425"/>
            <w:shd w:fill="D9D9D9" w:val="clear"/>
          </w:tcPr>
          <w:p w14:paraId="D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2</w:t>
            </w:r>
          </w:p>
        </w:tc>
        <w:tc>
          <w:tcPr>
            <w:tcW w:type="dxa" w:w="2425"/>
            <w:shd w:fill="D9D9D9" w:val="clear"/>
          </w:tcPr>
          <w:p w14:paraId="D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3</w:t>
            </w:r>
          </w:p>
        </w:tc>
        <w:tc>
          <w:tcPr>
            <w:tcW w:type="dxa" w:w="2425"/>
            <w:shd w:fill="D9D9D9" w:val="clear"/>
          </w:tcPr>
          <w:p w14:paraId="D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4</w:t>
            </w:r>
          </w:p>
        </w:tc>
      </w:tr>
      <w:tr>
        <w:tc>
          <w:tcPr>
            <w:tcW w:type="dxa" w:w="4850"/>
          </w:tcPr>
          <w:p w14:paraId="D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Разговоры о важном</w:t>
            </w:r>
          </w:p>
        </w:tc>
        <w:tc>
          <w:tcPr>
            <w:tcW w:type="dxa" w:w="2425"/>
          </w:tcPr>
          <w:p w14:paraId="D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850"/>
          </w:tcPr>
          <w:p w14:paraId="D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Орлята России</w:t>
            </w:r>
          </w:p>
        </w:tc>
        <w:tc>
          <w:tcPr>
            <w:tcW w:type="dxa" w:w="2425"/>
          </w:tcPr>
          <w:p w14:paraId="D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D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850"/>
          </w:tcPr>
          <w:p w14:paraId="E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Функциональная грамотность</w:t>
            </w:r>
          </w:p>
        </w:tc>
        <w:tc>
          <w:tcPr>
            <w:tcW w:type="dxa" w:w="2425"/>
          </w:tcPr>
          <w:p w14:paraId="E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E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E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E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4850"/>
          </w:tcPr>
          <w:p w14:paraId="E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type="dxa" w:w="2425"/>
          </w:tcPr>
          <w:p w14:paraId="E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E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E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E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850"/>
          </w:tcPr>
          <w:p w14:paraId="E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глазами ребенка</w:t>
            </w:r>
          </w:p>
        </w:tc>
        <w:tc>
          <w:tcPr>
            <w:tcW w:type="dxa" w:w="2425"/>
          </w:tcPr>
          <w:p w14:paraId="E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E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E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E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850"/>
          </w:tcPr>
          <w:p w14:paraId="E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Веселый английский</w:t>
            </w:r>
          </w:p>
        </w:tc>
        <w:tc>
          <w:tcPr>
            <w:tcW w:type="dxa" w:w="2425"/>
          </w:tcPr>
          <w:p w14:paraId="F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F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F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F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850"/>
          </w:tcPr>
          <w:p w14:paraId="F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Учимся говорит на русском</w:t>
            </w:r>
          </w:p>
        </w:tc>
        <w:tc>
          <w:tcPr>
            <w:tcW w:type="dxa" w:w="2425"/>
          </w:tcPr>
          <w:p w14:paraId="F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425"/>
          </w:tcPr>
          <w:p w14:paraId="F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F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425"/>
          </w:tcPr>
          <w:p w14:paraId="F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4850"/>
            <w:shd w:fill="00FF00" w:val="clear"/>
          </w:tcPr>
          <w:p w14:paraId="F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недельная нагрузка</w:t>
            </w:r>
          </w:p>
        </w:tc>
        <w:tc>
          <w:tcPr>
            <w:tcW w:type="dxa" w:w="2425"/>
            <w:shd w:fill="00FF00" w:val="clear"/>
          </w:tcPr>
          <w:p w14:paraId="F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425"/>
            <w:shd w:fill="00FF00" w:val="clear"/>
          </w:tcPr>
          <w:p w14:paraId="F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425"/>
            <w:shd w:fill="00FF00" w:val="clear"/>
          </w:tcPr>
          <w:p w14:paraId="F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425"/>
            <w:shd w:fill="00FF00" w:val="clear"/>
          </w:tcPr>
          <w:p w14:paraId="F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14:paraId="FE000000">
      <w:pPr>
        <w:rPr>
          <w:rFonts w:ascii="Times New Roman" w:hAnsi="Times New Roman"/>
        </w:rPr>
      </w:pPr>
    </w:p>
    <w:sectPr>
      <w:pgSz w:h="11900" w:orient="landscape" w:w="16820"/>
      <w:pgMar w:bottom="1134" w:footer="708" w:gutter="0" w:header="708" w:left="1134" w:right="1134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"/>
      <w:lvlJc w:val="left"/>
      <w:pPr>
        <w:ind w:hanging="360" w:left="128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"/>
      <w:lvlJc w:val="left"/>
      <w:pPr>
        <w:ind w:hanging="360" w:left="128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047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2" w:type="paragraph">
    <w:name w:val="markedcontent"/>
    <w:basedOn w:val="Style_9"/>
    <w:link w:val="Style_2_ch"/>
  </w:style>
  <w:style w:styleId="Style_2_ch" w:type="character">
    <w:name w:val="markedcontent"/>
    <w:basedOn w:val="Style_9_ch"/>
    <w:link w:val="Style_2"/>
  </w:style>
  <w:style w:styleId="Style_10" w:type="paragraph">
    <w:name w:val="Balloon Text"/>
    <w:basedOn w:val="Style_4"/>
    <w:link w:val="Style_10_ch"/>
    <w:pPr>
      <w:spacing w:after="0" w:line="240" w:lineRule="auto"/>
      <w:ind/>
    </w:pPr>
    <w:rPr>
      <w:rFonts w:ascii="Segoe UI" w:hAnsi="Segoe UI"/>
      <w:sz w:val="18"/>
    </w:rPr>
  </w:style>
  <w:style w:styleId="Style_10_ch" w:type="character">
    <w:name w:val="Balloon Text"/>
    <w:basedOn w:val="Style_4_ch"/>
    <w:link w:val="Style_10"/>
    <w:rPr>
      <w:rFonts w:ascii="Segoe UI" w:hAnsi="Segoe UI"/>
      <w:sz w:val="18"/>
    </w:rPr>
  </w:style>
  <w:style w:styleId="Style_11" w:type="paragraph">
    <w:name w:val="heading 3"/>
    <w:basedOn w:val="Style_4"/>
    <w:link w:val="Style_11_ch"/>
    <w:uiPriority w:val="9"/>
    <w:qFormat/>
    <w:pPr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11_ch" w:type="character">
    <w:name w:val="heading 3"/>
    <w:basedOn w:val="Style_4_ch"/>
    <w:link w:val="Style_11"/>
    <w:rPr>
      <w:rFonts w:ascii="Times New Roman" w:hAnsi="Times New Roman"/>
      <w:b w:val="1"/>
      <w:sz w:val="27"/>
    </w:rPr>
  </w:style>
  <w:style w:styleId="Style_12" w:type="paragraph">
    <w:name w:val="annotation text"/>
    <w:basedOn w:val="Style_4"/>
    <w:link w:val="Style_12_ch"/>
    <w:pPr>
      <w:spacing w:line="240" w:lineRule="auto"/>
      <w:ind/>
    </w:pPr>
    <w:rPr>
      <w:sz w:val="20"/>
    </w:rPr>
  </w:style>
  <w:style w:styleId="Style_12_ch" w:type="character">
    <w:name w:val="annotation text"/>
    <w:basedOn w:val="Style_4_ch"/>
    <w:link w:val="Style_12"/>
    <w:rPr>
      <w:sz w:val="20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annotation subject"/>
    <w:basedOn w:val="Style_12"/>
    <w:next w:val="Style_12"/>
    <w:link w:val="Style_14_ch"/>
    <w:rPr>
      <w:b w:val="1"/>
    </w:rPr>
  </w:style>
  <w:style w:styleId="Style_14_ch" w:type="character">
    <w:name w:val="annotation subject"/>
    <w:basedOn w:val="Style_12_ch"/>
    <w:link w:val="Style_14"/>
    <w:rPr>
      <w:b w:val="1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4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3" w:type="paragraph">
    <w:name w:val="List Paragraph"/>
    <w:basedOn w:val="Style_4"/>
    <w:link w:val="Style_3_ch"/>
    <w:pPr>
      <w:ind w:firstLine="0" w:left="720"/>
      <w:contextualSpacing w:val="1"/>
    </w:pPr>
  </w:style>
  <w:style w:styleId="Style_3_ch" w:type="character">
    <w:name w:val="List Paragraph"/>
    <w:basedOn w:val="Style_4_ch"/>
    <w:link w:val="Style_3"/>
  </w:style>
  <w:style w:styleId="Style_22" w:type="paragraph">
    <w:name w:val="toc 8"/>
    <w:next w:val="Style_4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annotation reference"/>
    <w:basedOn w:val="Style_9"/>
    <w:link w:val="Style_23_ch"/>
    <w:rPr>
      <w:sz w:val="16"/>
    </w:rPr>
  </w:style>
  <w:style w:styleId="Style_23_ch" w:type="character">
    <w:name w:val="annotation reference"/>
    <w:basedOn w:val="Style_9_ch"/>
    <w:link w:val="Style_23"/>
    <w:rPr>
      <w:sz w:val="16"/>
    </w:rPr>
  </w:style>
  <w:style w:styleId="Style_24" w:type="paragraph">
    <w:name w:val="toc 5"/>
    <w:next w:val="Style_4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5" w:type="paragraph">
    <w:name w:val="Subtitle"/>
    <w:next w:val="Style_4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oc 10"/>
    <w:next w:val="Style_4"/>
    <w:link w:val="Style_26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6_ch" w:type="character">
    <w:name w:val="toc 10"/>
    <w:link w:val="Style_26"/>
    <w:rPr>
      <w:rFonts w:ascii="XO Thames" w:hAnsi="XO Thames"/>
      <w:sz w:val="28"/>
    </w:rPr>
  </w:style>
  <w:style w:styleId="Style_27" w:type="paragraph">
    <w:name w:val="Title"/>
    <w:next w:val="Style_4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30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2025-09-10T08:43:12Z</dcterms:modified>
</cp:coreProperties>
</file>